
<file path=[Content_Types].xml><?xml version="1.0" encoding="utf-8"?>
<Types xmlns="http://schemas.openxmlformats.org/package/2006/content-types">
  <Default Extension="jpeg" ContentType="image/jpeg"/>
  <Default Extension="JPG" ContentType="image/.jpg"/>
  <Default Extension="tiff" ContentType="image/tif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AC4A8">
      <w:pPr>
        <w:rPr>
          <w:rFonts w:hint="default" w:ascii="Arial" w:hAnsi="Arial" w:cs="Arial"/>
          <w:color w:val="auto"/>
          <w:sz w:val="20"/>
          <w:szCs w:val="20"/>
          <w:highlight w:val="none"/>
        </w:rPr>
      </w:pPr>
      <w:r>
        <w:rPr>
          <w:rFonts w:hint="default" w:ascii="Arial" w:hAnsi="Arial" w:cs="Arial" w:eastAsiaTheme="minorEastAsia"/>
          <w:color w:val="auto"/>
          <w:sz w:val="20"/>
          <w:szCs w:val="20"/>
          <w:lang w:eastAsia="zh-CN"/>
        </w:rPr>
        <w:drawing>
          <wp:inline distT="0" distB="0" distL="114300" distR="114300">
            <wp:extent cx="5257800" cy="2860040"/>
            <wp:effectExtent l="0" t="0" r="0" b="16510"/>
            <wp:docPr id="4" name="图片 4" descr="figure 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igure S1"/>
                    <pic:cNvPicPr>
                      <a:picLocks noChangeAspect="1"/>
                    </pic:cNvPicPr>
                  </pic:nvPicPr>
                  <pic:blipFill>
                    <a:blip r:embed="rId4"/>
                    <a:stretch>
                      <a:fillRect/>
                    </a:stretch>
                  </pic:blipFill>
                  <pic:spPr>
                    <a:xfrm>
                      <a:off x="0" y="0"/>
                      <a:ext cx="5257800" cy="2860040"/>
                    </a:xfrm>
                    <a:prstGeom prst="rect">
                      <a:avLst/>
                    </a:prstGeom>
                  </pic:spPr>
                </pic:pic>
              </a:graphicData>
            </a:graphic>
          </wp:inline>
        </w:drawing>
      </w:r>
      <w:r>
        <w:rPr>
          <w:rFonts w:hint="default" w:ascii="Arial" w:hAnsi="Arial" w:cs="Arial"/>
          <w:color w:val="auto"/>
          <w:sz w:val="20"/>
          <w:szCs w:val="20"/>
          <w:highlight w:val="none"/>
        </w:rPr>
        <w:t xml:space="preserve">Figure S1: scRNA analysis of placenta. </w:t>
      </w:r>
      <w:bookmarkStart w:id="0" w:name="OLE_LINK1"/>
      <w:r>
        <w:rPr>
          <w:rFonts w:hint="default" w:ascii="Arial" w:hAnsi="Arial" w:cs="Arial"/>
          <w:color w:val="auto"/>
          <w:sz w:val="20"/>
          <w:szCs w:val="20"/>
          <w:highlight w:val="none"/>
        </w:rPr>
        <w:t xml:space="preserve">(A) The genes, counts, and mitochondrial gene percentage in control and ICP groups. (B) Correlation between genes, mitochondrial gene percentage and counts </w:t>
      </w:r>
      <w:r>
        <w:rPr>
          <w:rFonts w:hint="eastAsia" w:ascii="Arial" w:hAnsi="Arial" w:cs="Arial"/>
          <w:color w:val="auto"/>
          <w:sz w:val="20"/>
          <w:szCs w:val="20"/>
          <w:highlight w:val="none"/>
          <w:lang w:val="en-US" w:eastAsia="zh-CN"/>
        </w:rPr>
        <w:t>i</w:t>
      </w:r>
      <w:r>
        <w:rPr>
          <w:rFonts w:hint="default" w:ascii="Arial" w:hAnsi="Arial" w:cs="Arial"/>
          <w:color w:val="auto"/>
          <w:sz w:val="20"/>
          <w:szCs w:val="20"/>
          <w:highlight w:val="none"/>
        </w:rPr>
        <w:t>n control and ICP groups.</w:t>
      </w:r>
      <w:bookmarkEnd w:id="0"/>
      <w:r>
        <w:rPr>
          <w:rFonts w:hint="default" w:ascii="Arial" w:hAnsi="Arial" w:cs="Arial"/>
          <w:color w:val="auto"/>
          <w:sz w:val="20"/>
          <w:szCs w:val="20"/>
          <w:highlight w:val="none"/>
        </w:rPr>
        <w:t xml:space="preserve"> (C) HVGs were colored in red, and the top 10 HVGs were labeled. (D) Heatmap presentation of the 15 principal components (PCs) in PCA analysis. (E) PCs selection using JackStraw fu</w:t>
      </w:r>
      <w:bookmarkStart w:id="4" w:name="_GoBack"/>
      <w:bookmarkEnd w:id="4"/>
      <w:r>
        <w:rPr>
          <w:rFonts w:hint="default" w:ascii="Arial" w:hAnsi="Arial" w:cs="Arial"/>
          <w:color w:val="auto"/>
          <w:sz w:val="20"/>
          <w:szCs w:val="20"/>
          <w:highlight w:val="none"/>
        </w:rPr>
        <w:t xml:space="preserve">nction. (F) PCs selection using </w:t>
      </w:r>
      <w:bookmarkStart w:id="1" w:name="OLE_LINK2"/>
      <w:r>
        <w:rPr>
          <w:rFonts w:hint="default" w:ascii="Arial" w:hAnsi="Arial" w:cs="Arial"/>
          <w:color w:val="auto"/>
          <w:sz w:val="20"/>
          <w:szCs w:val="20"/>
          <w:highlight w:val="none"/>
        </w:rPr>
        <w:t>ElbowPlot.</w:t>
      </w:r>
      <w:bookmarkEnd w:id="1"/>
      <w:r>
        <w:rPr>
          <w:rFonts w:hint="default" w:ascii="Arial" w:hAnsi="Arial" w:cs="Arial"/>
          <w:color w:val="auto"/>
          <w:sz w:val="20"/>
          <w:szCs w:val="20"/>
          <w:highlight w:val="none"/>
        </w:rPr>
        <w:t xml:space="preserve">  </w:t>
      </w:r>
    </w:p>
    <w:p w14:paraId="02A1373E">
      <w:pPr>
        <w:rPr>
          <w:rFonts w:hint="default" w:ascii="Arial" w:hAnsi="Arial" w:cs="Arial"/>
          <w:color w:val="auto"/>
          <w:sz w:val="20"/>
          <w:szCs w:val="20"/>
        </w:rPr>
      </w:pPr>
      <w:r>
        <w:rPr>
          <w:rFonts w:hint="default" w:ascii="Arial" w:hAnsi="Arial" w:cs="Arial" w:eastAsiaTheme="minorEastAsia"/>
          <w:color w:val="auto"/>
          <w:sz w:val="20"/>
          <w:szCs w:val="20"/>
          <w:lang w:eastAsia="zh-CN"/>
        </w:rPr>
        <w:drawing>
          <wp:inline distT="0" distB="0" distL="114300" distR="114300">
            <wp:extent cx="5257165" cy="5313680"/>
            <wp:effectExtent l="0" t="0" r="635" b="1270"/>
            <wp:docPr id="2" name="图片 2" descr="figure 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igure S2"/>
                    <pic:cNvPicPr>
                      <a:picLocks noChangeAspect="1"/>
                    </pic:cNvPicPr>
                  </pic:nvPicPr>
                  <pic:blipFill>
                    <a:blip r:embed="rId5"/>
                    <a:stretch>
                      <a:fillRect/>
                    </a:stretch>
                  </pic:blipFill>
                  <pic:spPr>
                    <a:xfrm>
                      <a:off x="0" y="0"/>
                      <a:ext cx="5257165" cy="5313680"/>
                    </a:xfrm>
                    <a:prstGeom prst="rect">
                      <a:avLst/>
                    </a:prstGeom>
                  </pic:spPr>
                </pic:pic>
              </a:graphicData>
            </a:graphic>
          </wp:inline>
        </w:drawing>
      </w:r>
      <w:r>
        <w:rPr>
          <w:rFonts w:hint="default" w:ascii="Arial" w:hAnsi="Arial" w:cs="Arial"/>
          <w:color w:val="auto"/>
          <w:sz w:val="20"/>
          <w:szCs w:val="20"/>
        </w:rPr>
        <w:t xml:space="preserve">Figure S2: (A) Expression of M1-type and M2-type macrophage markers.The M1-type marker CD80 was poorly expressed in ICP, while the M2-type markers CD163, CD209, and IL10 were strongly expressed, indicating the placental immunosuppressed state in ICP.  (B) Heatmap </w:t>
      </w:r>
    </w:p>
    <w:p w14:paraId="752C3738">
      <w:pPr>
        <w:rPr>
          <w:rFonts w:hint="default" w:ascii="Arial" w:hAnsi="Arial" w:cs="Arial"/>
          <w:color w:val="auto"/>
          <w:sz w:val="20"/>
          <w:szCs w:val="20"/>
        </w:rPr>
      </w:pPr>
      <w:r>
        <w:rPr>
          <w:rFonts w:hint="default" w:ascii="Arial" w:hAnsi="Arial" w:cs="Arial"/>
          <w:color w:val="auto"/>
          <w:sz w:val="20"/>
          <w:szCs w:val="20"/>
        </w:rPr>
        <w:t>of the inferred transcription-factor gene-regulatory networks in placental cells.  (C) In</w:t>
      </w:r>
      <w:r>
        <w:rPr>
          <w:rFonts w:hint="default" w:ascii="Arial" w:hAnsi="Arial" w:eastAsia="宋体" w:cs="Arial"/>
          <w:color w:val="auto"/>
          <w:sz w:val="20"/>
          <w:szCs w:val="20"/>
          <w:lang w:val="en-US" w:eastAsia="zh-CN"/>
        </w:rPr>
        <w:t xml:space="preserve"> placenta</w:t>
      </w:r>
      <w:r>
        <w:rPr>
          <w:rFonts w:hint="default" w:ascii="Arial" w:hAnsi="Arial" w:cs="Arial"/>
          <w:color w:val="auto"/>
          <w:sz w:val="20"/>
          <w:szCs w:val="20"/>
        </w:rPr>
        <w:t xml:space="preserve"> cell-cell communication analysis, number and strength of placental cell interactions in ICP and control group. (D) Heatmap of intercellular communication changes in ICP group compared to control group.</w:t>
      </w:r>
      <w:r>
        <w:rPr>
          <w:rFonts w:hint="default" w:ascii="Arial" w:hAnsi="Arial" w:eastAsia="宋体" w:cs="Arial"/>
          <w:color w:val="auto"/>
          <w:sz w:val="20"/>
          <w:szCs w:val="20"/>
          <w:lang w:val="en-US" w:eastAsia="zh-CN"/>
        </w:rPr>
        <w:t xml:space="preserve"> </w:t>
      </w:r>
      <w:r>
        <w:rPr>
          <w:rFonts w:hint="default" w:ascii="Arial" w:hAnsi="Arial" w:cs="Arial"/>
          <w:color w:val="auto"/>
          <w:sz w:val="20"/>
          <w:szCs w:val="20"/>
        </w:rPr>
        <w:t>(E) In cell-cell communication analysis</w:t>
      </w:r>
      <w:r>
        <w:rPr>
          <w:rFonts w:hint="default" w:ascii="Arial" w:hAnsi="Arial" w:eastAsia="宋体" w:cs="Arial"/>
          <w:color w:val="auto"/>
          <w:sz w:val="20"/>
          <w:szCs w:val="20"/>
          <w:lang w:val="en-US" w:eastAsia="zh-CN"/>
        </w:rPr>
        <w:t xml:space="preserve"> of macrophage subgroups</w:t>
      </w:r>
      <w:r>
        <w:rPr>
          <w:rFonts w:hint="default" w:ascii="Arial" w:hAnsi="Arial" w:cs="Arial"/>
          <w:color w:val="auto"/>
          <w:sz w:val="20"/>
          <w:szCs w:val="20"/>
        </w:rPr>
        <w:t xml:space="preserve">, number and strength of placental cell interactions in ICP and control group. </w:t>
      </w:r>
      <w:bookmarkStart w:id="2" w:name="OLE_LINK137"/>
      <w:r>
        <w:rPr>
          <w:rFonts w:hint="default" w:ascii="Arial" w:hAnsi="Arial" w:cs="Arial"/>
          <w:color w:val="auto"/>
          <w:sz w:val="20"/>
          <w:szCs w:val="20"/>
        </w:rPr>
        <w:t>(</w:t>
      </w:r>
      <w:r>
        <w:rPr>
          <w:rFonts w:hint="default" w:ascii="Arial" w:hAnsi="Arial" w:eastAsia="宋体" w:cs="Arial"/>
          <w:color w:val="auto"/>
          <w:sz w:val="20"/>
          <w:szCs w:val="20"/>
          <w:lang w:val="en-US" w:eastAsia="zh-CN"/>
        </w:rPr>
        <w:t>F</w:t>
      </w:r>
      <w:r>
        <w:rPr>
          <w:rFonts w:hint="default" w:ascii="Arial" w:hAnsi="Arial" w:cs="Arial"/>
          <w:color w:val="auto"/>
          <w:sz w:val="20"/>
          <w:szCs w:val="20"/>
        </w:rPr>
        <w:t>)</w:t>
      </w:r>
      <w:bookmarkEnd w:id="2"/>
      <w:r>
        <w:rPr>
          <w:rFonts w:hint="default" w:ascii="Arial" w:hAnsi="Arial" w:cs="Arial"/>
          <w:color w:val="auto"/>
          <w:sz w:val="20"/>
          <w:szCs w:val="20"/>
        </w:rPr>
        <w:t xml:space="preserve"> Cell-cell communication changes in immune cell group, trophoblast cell group and other cell group. The interaction between the immune cell group and the other two groups was significantly enhanced in ICP. (</w:t>
      </w:r>
      <w:r>
        <w:rPr>
          <w:rFonts w:hint="default" w:ascii="Arial" w:hAnsi="Arial" w:eastAsia="宋体" w:cs="Arial"/>
          <w:color w:val="auto"/>
          <w:sz w:val="20"/>
          <w:szCs w:val="20"/>
          <w:lang w:val="en-US" w:eastAsia="zh-CN"/>
        </w:rPr>
        <w:t>G</w:t>
      </w:r>
      <w:r>
        <w:rPr>
          <w:rFonts w:hint="default" w:ascii="Arial" w:hAnsi="Arial" w:cs="Arial"/>
          <w:color w:val="auto"/>
          <w:sz w:val="20"/>
          <w:szCs w:val="20"/>
        </w:rPr>
        <w:t>) Enrichment degree of</w:t>
      </w:r>
      <w:r>
        <w:rPr>
          <w:rFonts w:hint="default" w:ascii="Arial" w:hAnsi="Arial" w:eastAsia="宋体" w:cs="Arial"/>
          <w:color w:val="auto"/>
          <w:sz w:val="20"/>
          <w:szCs w:val="20"/>
          <w:lang w:val="en-US" w:eastAsia="zh-CN"/>
        </w:rPr>
        <w:t xml:space="preserve"> placenta </w:t>
      </w:r>
      <w:bookmarkStart w:id="3" w:name="OLE_LINK138"/>
      <w:r>
        <w:rPr>
          <w:rFonts w:hint="default" w:ascii="Arial" w:hAnsi="Arial" w:cs="Arial"/>
          <w:color w:val="auto"/>
          <w:sz w:val="20"/>
          <w:szCs w:val="20"/>
        </w:rPr>
        <w:t>cellular pathways</w:t>
      </w:r>
      <w:bookmarkEnd w:id="3"/>
      <w:r>
        <w:rPr>
          <w:rFonts w:hint="default" w:ascii="Arial" w:hAnsi="Arial" w:eastAsia="宋体" w:cs="Arial"/>
          <w:color w:val="auto"/>
          <w:sz w:val="20"/>
          <w:szCs w:val="20"/>
          <w:lang w:val="en-US" w:eastAsia="zh-CN"/>
        </w:rPr>
        <w:t xml:space="preserve"> in </w:t>
      </w:r>
      <w:r>
        <w:rPr>
          <w:rFonts w:hint="default" w:ascii="Arial" w:hAnsi="Arial" w:cs="Arial"/>
          <w:color w:val="auto"/>
          <w:sz w:val="20"/>
          <w:szCs w:val="20"/>
        </w:rPr>
        <w:t xml:space="preserve">ICP and control group. The pathways revolved around cytokine and chemokine includes IL10, IL6, TNF, CCL, and CXCL signaling pathways.  </w:t>
      </w:r>
    </w:p>
    <w:p w14:paraId="101B5779">
      <w:pPr>
        <w:rPr>
          <w:rFonts w:hint="default" w:ascii="Arial" w:hAnsi="Arial" w:cs="Arial"/>
          <w:color w:val="auto"/>
          <w:sz w:val="20"/>
          <w:szCs w:val="20"/>
        </w:rPr>
      </w:pPr>
      <w:r>
        <w:rPr>
          <w:rFonts w:hint="default" w:ascii="Arial" w:hAnsi="Arial" w:cs="Arial" w:eastAsiaTheme="minorEastAsia"/>
          <w:color w:val="auto"/>
          <w:sz w:val="20"/>
          <w:szCs w:val="20"/>
          <w:lang w:eastAsia="zh-CN"/>
        </w:rPr>
        <w:drawing>
          <wp:inline distT="0" distB="0" distL="114300" distR="114300">
            <wp:extent cx="5267325" cy="5460365"/>
            <wp:effectExtent l="0" t="0" r="9525" b="6985"/>
            <wp:docPr id="1" name="图片 1" descr="figure 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igure S3"/>
                    <pic:cNvPicPr>
                      <a:picLocks noChangeAspect="1"/>
                    </pic:cNvPicPr>
                  </pic:nvPicPr>
                  <pic:blipFill>
                    <a:blip r:embed="rId6"/>
                    <a:stretch>
                      <a:fillRect/>
                    </a:stretch>
                  </pic:blipFill>
                  <pic:spPr>
                    <a:xfrm>
                      <a:off x="0" y="0"/>
                      <a:ext cx="5267325" cy="5460365"/>
                    </a:xfrm>
                    <a:prstGeom prst="rect">
                      <a:avLst/>
                    </a:prstGeom>
                  </pic:spPr>
                </pic:pic>
              </a:graphicData>
            </a:graphic>
          </wp:inline>
        </w:drawing>
      </w:r>
      <w:r>
        <w:rPr>
          <w:rFonts w:hint="default" w:ascii="Arial" w:hAnsi="Arial" w:cs="Arial"/>
          <w:color w:val="auto"/>
          <w:sz w:val="20"/>
          <w:szCs w:val="20"/>
        </w:rPr>
        <w:t>Figure S3: (A-D) Expression of gene CCL3, CCL8, CCL2 and CCL4 in Bulk RNA-seq data. (E-F) Expression of gene CCL5 and CCL20 in Bulk RNA-seq data. (G-I) Expression of gene CXCL2, CXCL8 and CXCL16 in Bulk RNA-seq data.</w:t>
      </w:r>
    </w:p>
    <w:p w14:paraId="27038BED">
      <w:pPr>
        <w:rPr>
          <w:rFonts w:hint="default" w:ascii="Arial" w:hAnsi="Arial" w:cs="Arial" w:eastAsiaTheme="minorEastAsia"/>
          <w:color w:val="auto"/>
          <w:sz w:val="20"/>
          <w:szCs w:val="20"/>
          <w:lang w:eastAsia="zh-CN"/>
        </w:rPr>
      </w:pPr>
    </w:p>
    <w:p w14:paraId="184EC735">
      <w:pPr>
        <w:rPr>
          <w:rFonts w:hint="default" w:ascii="Arial" w:hAnsi="Arial" w:cs="Arial" w:eastAsiaTheme="minorEastAsia"/>
          <w:color w:val="auto"/>
          <w:sz w:val="20"/>
          <w:szCs w:val="20"/>
          <w:lang w:eastAsia="zh-CN"/>
        </w:rPr>
      </w:pPr>
    </w:p>
    <w:p w14:paraId="0681B341">
      <w:pPr>
        <w:rPr>
          <w:rFonts w:hint="default" w:ascii="Arial" w:hAnsi="Arial" w:cs="Arial" w:eastAsiaTheme="minorEastAsia"/>
          <w:color w:val="auto"/>
          <w:sz w:val="20"/>
          <w:szCs w:val="20"/>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iNzc2ZTM2NmRjMTYyMGUxYzgyM2IyMGE5YWRhYjkifQ=="/>
  </w:docVars>
  <w:rsids>
    <w:rsidRoot w:val="0D8275D2"/>
    <w:rsid w:val="06444CAD"/>
    <w:rsid w:val="0D8275D2"/>
    <w:rsid w:val="0DB94B65"/>
    <w:rsid w:val="214D29CD"/>
    <w:rsid w:val="25D65F93"/>
    <w:rsid w:val="357F227C"/>
    <w:rsid w:val="5DFE05C1"/>
    <w:rsid w:val="717E7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tiff"/><Relationship Id="rId5" Type="http://schemas.openxmlformats.org/officeDocument/2006/relationships/image" Target="media/image2.tiff"/><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265</Words>
  <Characters>1498</Characters>
  <Lines>0</Lines>
  <Paragraphs>0</Paragraphs>
  <TotalTime>32</TotalTime>
  <ScaleCrop>false</ScaleCrop>
  <LinksUpToDate>false</LinksUpToDate>
  <CharactersWithSpaces>1766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2024-09-11T13:11:00Z</dcterms:created>
  <dc:creator>woodstock</dc:creator>
  <cp:lastModifiedBy>woodstock</cp:lastModifiedBy>
  <dcterms:modified xsi:type="dcterms:W3CDTF">2024-09-29T04:13:58Z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57B20B82352C4A2BB84B5DD2A8B17A0C_13</vt:lpwstr>
  </property>
</Properties>
</file>